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color w:val="24375A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color w:val="218799"/>
          <w:sz w:val="32"/>
          <w:szCs w:val="32"/>
        </w:rPr>
        <w:t xml:space="preserve">QPR stands for Question, Persuade and Refer — the 3 simple steps anyone can learn to help save a life from suicide. Just as people trained in CPR and the Heimlich </w:t>
      </w:r>
      <w:proofErr w:type="gramStart"/>
      <w:r>
        <w:rPr>
          <w:rFonts w:ascii="Arial" w:eastAsia="Arial" w:hAnsi="Arial" w:cs="Arial"/>
          <w:color w:val="218799"/>
          <w:sz w:val="32"/>
          <w:szCs w:val="32"/>
        </w:rPr>
        <w:t>Maneuver</w:t>
      </w:r>
      <w:proofErr w:type="gramEnd"/>
      <w:r>
        <w:rPr>
          <w:rFonts w:ascii="Arial" w:eastAsia="Arial" w:hAnsi="Arial" w:cs="Arial"/>
          <w:color w:val="218799"/>
          <w:sz w:val="32"/>
          <w:szCs w:val="32"/>
        </w:rPr>
        <w:t xml:space="preserve"> help save thousands of lives each year, people trained in QPR learn how to recognize</w:t>
      </w:r>
      <w:r>
        <w:rPr>
          <w:rFonts w:ascii="Arial" w:eastAsia="Arial" w:hAnsi="Arial" w:cs="Arial"/>
          <w:color w:val="218799"/>
          <w:sz w:val="32"/>
          <w:szCs w:val="32"/>
        </w:rPr>
        <w:t xml:space="preserve"> the warning signs of a suicide crisis and how to question, persuade and refer someone to help.</w:t>
      </w:r>
      <w:r>
        <w:rPr>
          <w:rFonts w:ascii="Arial" w:eastAsia="Arial" w:hAnsi="Arial" w:cs="Arial"/>
          <w:color w:val="24375A"/>
          <w:sz w:val="32"/>
          <w:szCs w:val="32"/>
        </w:rPr>
        <w:t>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-182879</wp:posOffset>
                </wp:positionH>
                <wp:positionV relativeFrom="paragraph">
                  <wp:posOffset>-236219</wp:posOffset>
                </wp:positionV>
                <wp:extent cx="7315200" cy="1531620"/>
                <wp:effectExtent l="0" t="0" r="0" b="0"/>
                <wp:wrapSquare wrapText="bothSides" distT="0" distB="0" distL="114300" distR="114300"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531620"/>
                        </a:xfrm>
                        <a:prstGeom prst="rect">
                          <a:avLst/>
                        </a:prstGeom>
                        <a:solidFill>
                          <a:srgbClr val="2187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46E" w:rsidRDefault="00783506" w:rsidP="000C246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144"/>
                                <w:szCs w:val="72"/>
                              </w:rPr>
                            </w:pPr>
                            <w:proofErr w:type="gramStart"/>
                            <w:r w:rsidRPr="000C24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72"/>
                                <w:szCs w:val="52"/>
                              </w:rPr>
                              <w:t>Suicide Prevention Training</w:t>
                            </w:r>
                            <w:r w:rsidRPr="000C24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144"/>
                                <w:szCs w:val="72"/>
                              </w:rPr>
                              <w:br/>
                            </w:r>
                            <w:r w:rsidRPr="000C24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32"/>
                              </w:rPr>
                              <w:t xml:space="preserve">QPR </w:t>
                            </w:r>
                            <w:r w:rsidRPr="000C24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32"/>
                              </w:rPr>
                              <w:t>(Question.</w:t>
                            </w:r>
                            <w:proofErr w:type="gramEnd"/>
                            <w:r w:rsidRPr="000C24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32"/>
                              </w:rPr>
                              <w:t xml:space="preserve"> Persuade. Refer</w:t>
                            </w:r>
                            <w:r w:rsidRPr="000C24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32"/>
                              </w:rPr>
                              <w:t>.</w:t>
                            </w:r>
                            <w:r w:rsidRPr="000C24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72"/>
                              </w:rPr>
                              <w:t>)</w:t>
                            </w:r>
                          </w:p>
                          <w:p w:rsidR="00B02D25" w:rsidRPr="000C246E" w:rsidRDefault="00783506" w:rsidP="000C246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144"/>
                                <w:szCs w:val="72"/>
                              </w:rPr>
                            </w:pPr>
                            <w:r w:rsidRPr="000C24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Register now:</w:t>
                            </w:r>
                            <w:r w:rsidRPr="000C246E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FREE for Howard County residents and workers</w:t>
                            </w:r>
                          </w:p>
                          <w:p w:rsidR="00B02D25" w:rsidRDefault="007835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-182879</wp:posOffset>
                </wp:positionH>
                <wp:positionV relativeFrom="paragraph">
                  <wp:posOffset>-236219</wp:posOffset>
                </wp:positionV>
                <wp:extent cx="7315200" cy="1531620"/>
                <wp:effectExtent b="0" l="0" r="0" t="0"/>
                <wp:wrapSquare wrapText="bothSides" distB="0" distT="0" distL="114300" distR="114300"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1531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182880" distB="182880" distL="182880" distR="182880" simplePos="0" relativeHeight="251659264" behindDoc="0" locked="0" layoutInCell="1" hidden="0" allowOverlap="1">
            <wp:simplePos x="0" y="0"/>
            <wp:positionH relativeFrom="column">
              <wp:posOffset>4020820</wp:posOffset>
            </wp:positionH>
            <wp:positionV relativeFrom="paragraph">
              <wp:posOffset>1456055</wp:posOffset>
            </wp:positionV>
            <wp:extent cx="3014345" cy="702310"/>
            <wp:effectExtent l="0" t="0" r="0" b="0"/>
            <wp:wrapSquare wrapText="bothSides" distT="182880" distB="182880" distL="182880" distR="182880"/>
            <wp:docPr id="3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702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2BF3" w:rsidRDefault="00783506">
      <w:pPr>
        <w:spacing w:line="240" w:lineRule="auto"/>
        <w:rPr>
          <w:rFonts w:ascii="Arial" w:eastAsia="Arial" w:hAnsi="Arial" w:cs="Arial"/>
          <w:b/>
          <w:color w:val="218799"/>
          <w:sz w:val="32"/>
          <w:szCs w:val="32"/>
        </w:rPr>
      </w:pPr>
      <w:r>
        <w:rPr>
          <w:rFonts w:ascii="Arial" w:eastAsia="Arial" w:hAnsi="Arial" w:cs="Arial"/>
          <w:b/>
          <w:color w:val="218799"/>
          <w:sz w:val="32"/>
          <w:szCs w:val="32"/>
        </w:rPr>
        <w:t>KEY COMPONENTS COVERED IN TRAINING:</w:t>
      </w:r>
    </w:p>
    <w:p w:rsidR="00B12BF3" w:rsidRDefault="00783506">
      <w:pPr>
        <w:numPr>
          <w:ilvl w:val="0"/>
          <w:numId w:val="1"/>
        </w:numPr>
        <w:spacing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32"/>
          <w:szCs w:val="32"/>
        </w:rPr>
        <w:t>How to Question, Persuade and Refer someone who may be suicidal</w:t>
      </w:r>
    </w:p>
    <w:p w:rsidR="00B12BF3" w:rsidRDefault="00783506">
      <w:pPr>
        <w:numPr>
          <w:ilvl w:val="0"/>
          <w:numId w:val="1"/>
        </w:numPr>
        <w:spacing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32"/>
          <w:szCs w:val="32"/>
        </w:rPr>
        <w:t>How to get help for yourself or learn more about preventing suicide</w:t>
      </w:r>
    </w:p>
    <w:p w:rsidR="00B12BF3" w:rsidRDefault="00783506">
      <w:pPr>
        <w:numPr>
          <w:ilvl w:val="0"/>
          <w:numId w:val="1"/>
        </w:numPr>
        <w:spacing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32"/>
          <w:szCs w:val="32"/>
        </w:rPr>
        <w:t>The common causes of suicidal behavior</w:t>
      </w:r>
    </w:p>
    <w:p w:rsidR="00B12BF3" w:rsidRDefault="00783506">
      <w:pPr>
        <w:numPr>
          <w:ilvl w:val="0"/>
          <w:numId w:val="1"/>
        </w:numPr>
        <w:spacing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32"/>
          <w:szCs w:val="32"/>
        </w:rPr>
        <w:t>The warning signs of suicide</w:t>
      </w:r>
    </w:p>
    <w:p w:rsidR="00B12BF3" w:rsidRDefault="00783506">
      <w:pPr>
        <w:numPr>
          <w:ilvl w:val="0"/>
          <w:numId w:val="1"/>
        </w:numPr>
        <w:spacing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How to get help for </w:t>
      </w:r>
      <w:r>
        <w:rPr>
          <w:rFonts w:ascii="Arial" w:eastAsia="Arial" w:hAnsi="Arial" w:cs="Arial"/>
          <w:color w:val="000000"/>
          <w:sz w:val="32"/>
          <w:szCs w:val="32"/>
        </w:rPr>
        <w:t>someone in crisis</w:t>
      </w:r>
    </w:p>
    <w:p w:rsidR="00B12BF3" w:rsidRDefault="00783506">
      <w:pPr>
        <w:spacing w:line="240" w:lineRule="auto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For more information about this evidence-based practice, go to </w:t>
      </w:r>
      <w:r>
        <w:rPr>
          <w:rFonts w:ascii="Arial" w:eastAsia="Arial" w:hAnsi="Arial" w:cs="Arial"/>
          <w:color w:val="218799"/>
          <w:sz w:val="32"/>
          <w:szCs w:val="32"/>
        </w:rPr>
        <w:t>qprinstitute.com</w:t>
      </w: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Cost: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FREE to Howard County Residents/Employees</w:t>
      </w:r>
    </w:p>
    <w:p w:rsidR="00B12BF3" w:rsidRDefault="00B1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For more information, contact: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hyperlink r:id="rId8">
        <w:r>
          <w:rPr>
            <w:rFonts w:ascii="Arial" w:eastAsia="Arial" w:hAnsi="Arial" w:cs="Arial"/>
            <w:color w:val="218799"/>
            <w:sz w:val="32"/>
            <w:szCs w:val="32"/>
            <w:u w:val="single"/>
          </w:rPr>
          <w:t>Amanda@grassrootscrisis.org</w:t>
        </w:r>
      </w:hyperlink>
      <w:r>
        <w:rPr>
          <w:rFonts w:ascii="Arial" w:eastAsia="Arial" w:hAnsi="Arial" w:cs="Arial"/>
          <w:color w:val="000000"/>
          <w:sz w:val="32"/>
          <w:szCs w:val="32"/>
        </w:rPr>
        <w:t xml:space="preserve"> or 443-538-9909 </w:t>
      </w:r>
    </w:p>
    <w:p w:rsidR="00B12BF3" w:rsidRDefault="00B1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Go to </w:t>
      </w:r>
      <w:hyperlink r:id="rId9">
        <w:r>
          <w:rPr>
            <w:rFonts w:ascii="Arial" w:eastAsia="Arial" w:hAnsi="Arial" w:cs="Arial"/>
            <w:b/>
            <w:color w:val="218799"/>
            <w:sz w:val="36"/>
            <w:szCs w:val="36"/>
            <w:u w:val="single"/>
          </w:rPr>
          <w:t>www.grassrootscrisis.org/events/</w:t>
        </w:r>
      </w:hyperlink>
      <w:r>
        <w:rPr>
          <w:rFonts w:ascii="Arial" w:eastAsia="Arial" w:hAnsi="Arial" w:cs="Arial"/>
          <w:b/>
          <w:color w:val="21879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0000"/>
          <w:sz w:val="36"/>
          <w:szCs w:val="36"/>
        </w:rPr>
        <w:t>to register</w:t>
      </w:r>
    </w:p>
    <w:p w:rsidR="00B12BF3" w:rsidRDefault="00B1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For Horizon Foundation Grantees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– at least one member of your organization must attend </w:t>
      </w:r>
      <w:proofErr w:type="gramStart"/>
      <w:r>
        <w:rPr>
          <w:rFonts w:ascii="Arial" w:eastAsia="Arial" w:hAnsi="Arial" w:cs="Arial"/>
          <w:i/>
          <w:color w:val="000000"/>
          <w:sz w:val="24"/>
          <w:szCs w:val="24"/>
        </w:rPr>
        <w:t>a QPR</w:t>
      </w:r>
      <w:proofErr w:type="gram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training. Upcoming trainings and registration information is listed on the back. </w:t>
      </w:r>
    </w:p>
    <w:p w:rsidR="00B12BF3" w:rsidRDefault="00B1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Sponsored by</w:t>
      </w: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2423160</wp:posOffset>
            </wp:positionH>
            <wp:positionV relativeFrom="paragraph">
              <wp:posOffset>53339</wp:posOffset>
            </wp:positionV>
            <wp:extent cx="2011680" cy="748076"/>
            <wp:effectExtent l="0" t="0" r="0" b="0"/>
            <wp:wrapSquare wrapText="bothSides" distT="0" distB="0" distL="114300" distR="114300"/>
            <wp:docPr id="30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748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2BF3" w:rsidRDefault="00B1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12BF3" w:rsidRDefault="00B1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12BF3" w:rsidRDefault="00B1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12BF3" w:rsidRDefault="00B1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For the 2019 training schedule &amp; to register, go to </w:t>
      </w:r>
      <w:hyperlink r:id="rId11">
        <w:r>
          <w:rPr>
            <w:rFonts w:ascii="Arial" w:eastAsia="Arial" w:hAnsi="Arial" w:cs="Arial"/>
            <w:b/>
            <w:color w:val="218799"/>
            <w:sz w:val="24"/>
            <w:szCs w:val="24"/>
            <w:u w:val="single"/>
          </w:rPr>
          <w:t>www.grassrootscrisis.org/events/</w:t>
        </w:r>
      </w:hyperlink>
    </w:p>
    <w:p w:rsidR="00B12BF3" w:rsidRDefault="00B1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QPR Training Dates </w:t>
      </w: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(Subject to change – based on registration)</w:t>
      </w:r>
    </w:p>
    <w:p w:rsidR="00B12BF3" w:rsidRDefault="00B1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COST: </w:t>
      </w:r>
      <w:r>
        <w:rPr>
          <w:rFonts w:ascii="Arial" w:eastAsia="Arial" w:hAnsi="Arial" w:cs="Arial"/>
          <w:color w:val="000000"/>
          <w:sz w:val="24"/>
          <w:szCs w:val="24"/>
        </w:rPr>
        <w:t>FREE for all Howard County Residents &amp; Employees </w:t>
      </w: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FOR QUESTIONS: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Contact Amanda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Ganoe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at </w:t>
      </w:r>
      <w:hyperlink r:id="rId12">
        <w:r>
          <w:rPr>
            <w:rFonts w:ascii="Arial" w:eastAsia="Arial" w:hAnsi="Arial" w:cs="Arial"/>
            <w:color w:val="218799"/>
            <w:sz w:val="24"/>
            <w:szCs w:val="24"/>
            <w:u w:val="single"/>
          </w:rPr>
          <w:t>amanda@grassrootscrisis.org</w:t>
        </w:r>
      </w:hyperlink>
      <w:r>
        <w:rPr>
          <w:rFonts w:ascii="Arial" w:eastAsia="Arial" w:hAnsi="Arial" w:cs="Arial"/>
          <w:color w:val="218799"/>
          <w:sz w:val="24"/>
          <w:szCs w:val="24"/>
        </w:rPr>
        <w:t> </w:t>
      </w:r>
    </w:p>
    <w:p w:rsidR="00B12BF3" w:rsidRDefault="00B1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When: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March 9, 2019, from 2 -4 p.m. </w:t>
      </w: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Where: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Miller Branch Library, Patapsco Room (9421 Frederick Rd, Ellicott City,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21042) - Max 50 registrants </w:t>
      </w:r>
    </w:p>
    <w:p w:rsidR="00B12BF3" w:rsidRDefault="00B1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When: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March 21, 2019, fro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 5 -7 p.m. </w:t>
      </w: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Where: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Grassroots Crisis Intervention Center (6700 Freetown Rd, Columbia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21044-parking can fill up quickly) - Max 20 registrants </w:t>
      </w:r>
    </w:p>
    <w:p w:rsidR="00B12BF3" w:rsidRDefault="00B1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When: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April 1, 2019, from 7 -9 p.m. </w:t>
      </w: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Where: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Grassroots Crisis Intervention Center (6700 Freetown Rd, Columbia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21044-parking can fill up quickly) - Max 20 registrants </w:t>
      </w:r>
    </w:p>
    <w:p w:rsidR="00B12BF3" w:rsidRDefault="00B1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When: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April 13, 2019, from 11 a.m.-1 p.m. </w:t>
      </w: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Where: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TBD</w:t>
      </w:r>
    </w:p>
    <w:p w:rsidR="00B12BF3" w:rsidRDefault="00B1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When: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May 1, 2019, from 7 -9 p.m. </w:t>
      </w: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Where: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Grassroots Crisis Intervention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Center (6700 Freetown Rd, Columbia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21044-parking can fill up quickly) - Max 20 registrants </w:t>
      </w:r>
    </w:p>
    <w:p w:rsidR="00B12BF3" w:rsidRDefault="00B1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When: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May 16, 2019, from 5 -7 p.m.</w:t>
      </w: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Where: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Grassroots Crisis Intervention Center (6700 Freetown Rd, Columbia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21044-parking can fill up quickly) - Max 20 regis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trants </w:t>
      </w:r>
    </w:p>
    <w:p w:rsidR="00B12BF3" w:rsidRDefault="00B1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When: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May 17, 2019, from 12 -2 p.m. </w:t>
      </w:r>
    </w:p>
    <w:p w:rsidR="00B12BF3" w:rsidRDefault="00783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Where: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Non Profit Collaborative (9770 Patuxent Woods Dr., Columbia,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21046) – Max 75 registrants</w:t>
      </w:r>
    </w:p>
    <w:p w:rsidR="00B12BF3" w:rsidRDefault="00B1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B12BF3">
      <w:pgSz w:w="12240" w:h="15840"/>
      <w:pgMar w:top="720" w:right="720" w:bottom="720" w:left="720" w:header="720" w:footer="7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3B84"/>
    <w:multiLevelType w:val="multilevel"/>
    <w:tmpl w:val="0C58E03E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2BF3"/>
    <w:rsid w:val="00783506"/>
    <w:rsid w:val="00B1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3D6C8B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35B74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1481AB" w:themeColor="accent1" w:themeShade="BF"/>
      <w:spacing w:val="-10"/>
      <w:kern w:val="28"/>
      <w:sz w:val="10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1481AB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35B74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1481AB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1481AB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1481AB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B2D43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6F84"/>
    <w:rPr>
      <w:color w:val="6EAC1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F84"/>
    <w:rPr>
      <w:color w:val="B26B0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1C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3D6C8B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35B74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1481AB" w:themeColor="accent1" w:themeShade="BF"/>
      <w:spacing w:val="-10"/>
      <w:kern w:val="28"/>
      <w:sz w:val="10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1481AB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35B74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1481AB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1481AB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1481AB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B2D43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6F84"/>
    <w:rPr>
      <w:color w:val="6EAC1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F84"/>
    <w:rPr>
      <w:color w:val="B26B0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1C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@grassrootscrisis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amanda@grassrootscris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rassrootscrisis.org/event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grassrootscrisis.org/ev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mall Business S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Shelli</cp:lastModifiedBy>
  <cp:revision>2</cp:revision>
  <dcterms:created xsi:type="dcterms:W3CDTF">2019-04-11T13:32:00Z</dcterms:created>
  <dcterms:modified xsi:type="dcterms:W3CDTF">2019-04-11T13:32:00Z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