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2A" w:rsidRDefault="0006782A" w:rsidP="0006782A">
      <w:pPr>
        <w:jc w:val="center"/>
        <w:rPr>
          <w:rFonts w:ascii="Tahoma" w:hAnsi="Tahoma" w:cs="Tahoma"/>
          <w:b/>
          <w:sz w:val="32"/>
          <w:szCs w:val="32"/>
        </w:rPr>
      </w:pPr>
    </w:p>
    <w:p w:rsidR="00E23F2E" w:rsidRPr="0006782A" w:rsidRDefault="0006782A" w:rsidP="0006782A">
      <w:pPr>
        <w:jc w:val="center"/>
        <w:rPr>
          <w:rFonts w:ascii="Tahoma" w:hAnsi="Tahoma" w:cs="Tahoma"/>
          <w:b/>
          <w:sz w:val="32"/>
          <w:szCs w:val="32"/>
        </w:rPr>
      </w:pPr>
      <w:r w:rsidRPr="0006782A">
        <w:rPr>
          <w:rFonts w:ascii="Tahoma" w:hAnsi="Tahoma" w:cs="Tahoma"/>
          <w:b/>
          <w:sz w:val="32"/>
          <w:szCs w:val="32"/>
        </w:rPr>
        <w:t>Shailos for Rabbi Willig</w:t>
      </w:r>
      <w:r w:rsidR="00060868">
        <w:rPr>
          <w:rFonts w:ascii="Tahoma" w:hAnsi="Tahoma" w:cs="Tahoma"/>
          <w:b/>
          <w:sz w:val="32"/>
          <w:szCs w:val="32"/>
        </w:rPr>
        <w:t xml:space="preserve"> #1</w:t>
      </w:r>
      <w:bookmarkStart w:id="0" w:name="_GoBack"/>
      <w:bookmarkEnd w:id="0"/>
    </w:p>
    <w:p w:rsidR="0006782A" w:rsidRDefault="0006782A">
      <w:pPr>
        <w:rPr>
          <w:rFonts w:ascii="Tahoma" w:hAnsi="Tahoma" w:cs="Tahoma"/>
        </w:rPr>
      </w:pPr>
    </w:p>
    <w:p w:rsidR="0006782A" w:rsidRPr="00064DFA" w:rsidRDefault="0006782A" w:rsidP="0006782A">
      <w:pPr>
        <w:pStyle w:val="ListParagraph"/>
        <w:numPr>
          <w:ilvl w:val="0"/>
          <w:numId w:val="1"/>
        </w:numPr>
        <w:rPr>
          <w:rFonts w:ascii="Tahoma" w:hAnsi="Tahoma" w:cs="Tahoma"/>
          <w:sz w:val="24"/>
          <w:szCs w:val="24"/>
        </w:rPr>
      </w:pPr>
      <w:r w:rsidRPr="00064DFA">
        <w:rPr>
          <w:rFonts w:ascii="Tahoma" w:hAnsi="Tahoma" w:cs="Tahoma"/>
          <w:sz w:val="24"/>
          <w:szCs w:val="24"/>
        </w:rPr>
        <w:t>Would like Rabbi Willig's guidance on counting people for a minyan, giving aliyas, davening for the amud, where lines should be drawn, i.e. intermarriage, shmiras shabbos, etc.</w:t>
      </w:r>
    </w:p>
    <w:p w:rsidR="0006782A" w:rsidRDefault="0006782A" w:rsidP="0006782A">
      <w:pPr>
        <w:ind w:left="360"/>
      </w:pPr>
      <w:r>
        <w:t xml:space="preserve">        </w:t>
      </w:r>
    </w:p>
    <w:p w:rsidR="00AA7029" w:rsidRDefault="00AA7029" w:rsidP="0006782A">
      <w:pPr>
        <w:ind w:left="360"/>
      </w:pPr>
    </w:p>
    <w:p w:rsidR="0006782A" w:rsidRPr="00064DFA" w:rsidRDefault="0006782A" w:rsidP="0006782A">
      <w:pPr>
        <w:pStyle w:val="ListParagraph"/>
        <w:numPr>
          <w:ilvl w:val="0"/>
          <w:numId w:val="1"/>
        </w:numPr>
        <w:rPr>
          <w:rStyle w:val="Strong"/>
          <w:rFonts w:ascii="Tahoma" w:hAnsi="Tahoma" w:cs="Tahoma"/>
          <w:b w:val="0"/>
          <w:bCs w:val="0"/>
          <w:sz w:val="24"/>
          <w:szCs w:val="24"/>
        </w:rPr>
      </w:pPr>
      <w:r w:rsidRPr="00064DFA">
        <w:rPr>
          <w:rStyle w:val="Strong"/>
          <w:rFonts w:ascii="Tahoma" w:hAnsi="Tahoma" w:cs="Tahoma"/>
          <w:b w:val="0"/>
          <w:color w:val="000000"/>
          <w:sz w:val="24"/>
          <w:szCs w:val="24"/>
        </w:rPr>
        <w:t>Can one do Bikur Cholim or Nichum Aveilim over the phone?</w:t>
      </w:r>
    </w:p>
    <w:p w:rsidR="00AA7029" w:rsidRPr="00064DFA" w:rsidRDefault="00AA7029" w:rsidP="00AA7029">
      <w:pPr>
        <w:ind w:left="450"/>
        <w:rPr>
          <w:rFonts w:ascii="Tahoma" w:hAnsi="Tahoma" w:cs="Tahoma"/>
          <w:sz w:val="24"/>
          <w:szCs w:val="24"/>
        </w:rPr>
      </w:pPr>
    </w:p>
    <w:p w:rsidR="0006782A" w:rsidRDefault="0006782A" w:rsidP="008C6D3B">
      <w:pPr>
        <w:pStyle w:val="ListParagraph"/>
        <w:numPr>
          <w:ilvl w:val="0"/>
          <w:numId w:val="1"/>
        </w:numPr>
      </w:pPr>
      <w:r w:rsidRPr="00064DFA">
        <w:rPr>
          <w:rStyle w:val="Strong"/>
          <w:rFonts w:ascii="Tahoma" w:hAnsi="Tahoma" w:cs="Tahoma"/>
          <w:b w:val="0"/>
          <w:color w:val="000000"/>
          <w:sz w:val="24"/>
          <w:szCs w:val="24"/>
        </w:rPr>
        <w:t>Can my doorman press the elevator button for me on Shabbat?</w:t>
      </w:r>
      <w:r>
        <w:br/>
      </w:r>
      <w:r>
        <w:br/>
      </w:r>
    </w:p>
    <w:p w:rsidR="0006782A" w:rsidRDefault="0006782A" w:rsidP="0006782A">
      <w:pPr>
        <w:ind w:left="450"/>
        <w:jc w:val="right"/>
      </w:pPr>
      <w:r>
        <w:t> </w:t>
      </w:r>
      <w:r w:rsidRPr="0006782A">
        <w:rPr>
          <w:rFonts w:ascii="Arial" w:hAnsi="Arial" w:cs="Arial"/>
          <w:rtl/>
          <w:lang w:bidi="he-IL"/>
        </w:rPr>
        <w:t>שו</w:t>
      </w:r>
      <w:r>
        <w:t>"</w:t>
      </w:r>
      <w:r w:rsidRPr="0006782A">
        <w:rPr>
          <w:rFonts w:ascii="Arial" w:hAnsi="Arial" w:cs="Arial"/>
          <w:rtl/>
          <w:lang w:bidi="he-IL"/>
        </w:rPr>
        <w:t>ע</w:t>
      </w:r>
      <w:r>
        <w:t xml:space="preserve"> </w:t>
      </w:r>
      <w:r w:rsidRPr="0006782A">
        <w:rPr>
          <w:rFonts w:ascii="Arial" w:hAnsi="Arial" w:cs="Arial"/>
          <w:rtl/>
          <w:lang w:bidi="he-IL"/>
        </w:rPr>
        <w:t>סימן</w:t>
      </w:r>
      <w:r>
        <w:t xml:space="preserve"> </w:t>
      </w:r>
      <w:r w:rsidRPr="0006782A">
        <w:rPr>
          <w:rFonts w:ascii="Arial" w:hAnsi="Arial" w:cs="Arial"/>
          <w:rtl/>
          <w:lang w:bidi="he-IL"/>
        </w:rPr>
        <w:t>קי</w:t>
      </w:r>
      <w:r>
        <w:t>"</w:t>
      </w:r>
      <w:r w:rsidRPr="0006782A">
        <w:rPr>
          <w:rFonts w:ascii="Arial" w:hAnsi="Arial" w:cs="Arial"/>
          <w:rtl/>
          <w:lang w:bidi="he-IL"/>
        </w:rPr>
        <w:t>ז</w:t>
      </w:r>
      <w:r>
        <w:t xml:space="preserve"> </w:t>
      </w:r>
      <w:r w:rsidRPr="0006782A">
        <w:rPr>
          <w:rFonts w:ascii="Arial" w:hAnsi="Arial" w:cs="Arial"/>
          <w:rtl/>
          <w:lang w:bidi="he-IL"/>
        </w:rPr>
        <w:t>סעיף</w:t>
      </w:r>
      <w:r>
        <w:t xml:space="preserve"> </w:t>
      </w:r>
      <w:r w:rsidRPr="0006782A">
        <w:rPr>
          <w:rFonts w:ascii="Arial" w:hAnsi="Arial" w:cs="Arial"/>
          <w:rtl/>
          <w:lang w:bidi="he-IL"/>
        </w:rPr>
        <w:t>ה</w:t>
      </w:r>
    </w:p>
    <w:p w:rsidR="0006782A" w:rsidRDefault="0006782A" w:rsidP="0006782A">
      <w:pPr>
        <w:pStyle w:val="ListParagraph"/>
        <w:numPr>
          <w:ilvl w:val="0"/>
          <w:numId w:val="1"/>
        </w:numPr>
        <w:spacing w:before="100" w:beforeAutospacing="1" w:after="100" w:afterAutospacing="1"/>
        <w:jc w:val="right"/>
      </w:pPr>
      <w:r w:rsidRPr="0006782A">
        <w:rPr>
          <w:rFonts w:ascii="Arial" w:hAnsi="Arial" w:cs="Arial"/>
          <w:rtl/>
          <w:lang w:bidi="he-IL"/>
        </w:rPr>
        <w:t xml:space="preserve">אם לא שאל מטר, ונזכר קודם שומע תפלה, אין מחזירין אותו, ושואל בשומע תפלה. (ואם היה לו תענית </w:t>
      </w:r>
      <w:r>
        <w:rPr>
          <w:rFonts w:ascii="Arial" w:hAnsi="Arial" w:cs="Arial"/>
          <w:rtl/>
          <w:lang w:bidi="he-IL"/>
        </w:rPr>
        <w:t>3.</w:t>
      </w:r>
      <w:r w:rsidRPr="0006782A">
        <w:rPr>
          <w:rFonts w:ascii="Arial" w:hAnsi="Arial" w:cs="Arial"/>
          <w:rtl/>
          <w:lang w:bidi="he-IL"/>
        </w:rPr>
        <w:t xml:space="preserve">וצריך לומר עננו, יאמר השאלה קודם עננו) (אבודרהם), </w:t>
      </w:r>
      <w:r w:rsidRPr="0006782A">
        <w:rPr>
          <w:rFonts w:ascii="Arial" w:hAnsi="Arial" w:cs="Arial"/>
          <w:b/>
          <w:bCs/>
          <w:rtl/>
          <w:lang w:bidi="he-IL"/>
        </w:rPr>
        <w:t>ואם לא נזכר עד אחר שומע תפלה, אם לא עקר רגליו, חוזר לברכת השנים</w:t>
      </w:r>
    </w:p>
    <w:p w:rsidR="008C6D3B" w:rsidRDefault="0006782A" w:rsidP="0006782A">
      <w:pPr>
        <w:spacing w:after="240"/>
        <w:ind w:left="450"/>
      </w:pPr>
      <w:r>
        <w:t xml:space="preserve">What should one do if they recalled after concluding </w:t>
      </w:r>
      <w:r w:rsidRPr="0006782A">
        <w:rPr>
          <w:rFonts w:ascii="Arial" w:hAnsi="Arial" w:cs="Arial"/>
          <w:rtl/>
          <w:lang w:bidi="he-IL"/>
        </w:rPr>
        <w:t>שומע</w:t>
      </w:r>
      <w:r>
        <w:t xml:space="preserve"> </w:t>
      </w:r>
      <w:r w:rsidRPr="0006782A">
        <w:rPr>
          <w:rFonts w:ascii="Arial" w:hAnsi="Arial" w:cs="Arial"/>
          <w:rtl/>
          <w:lang w:bidi="he-IL"/>
        </w:rPr>
        <w:t>תפילה</w:t>
      </w:r>
      <w:r>
        <w:t xml:space="preserve">, but before beginning </w:t>
      </w:r>
      <w:r w:rsidRPr="0006782A">
        <w:rPr>
          <w:rFonts w:ascii="Arial" w:hAnsi="Arial" w:cs="Arial"/>
          <w:rtl/>
          <w:lang w:bidi="he-IL"/>
        </w:rPr>
        <w:t>רצה</w:t>
      </w:r>
      <w:r>
        <w:t xml:space="preserve"> and while still </w:t>
      </w:r>
      <w:r w:rsidRPr="0006782A">
        <w:rPr>
          <w:rFonts w:ascii="Arial" w:hAnsi="Arial" w:cs="Arial"/>
          <w:rtl/>
          <w:lang w:bidi="he-IL"/>
        </w:rPr>
        <w:t>תוך</w:t>
      </w:r>
      <w:r>
        <w:t xml:space="preserve"> </w:t>
      </w:r>
      <w:r w:rsidRPr="0006782A">
        <w:rPr>
          <w:rFonts w:ascii="Arial" w:hAnsi="Arial" w:cs="Arial"/>
          <w:rtl/>
          <w:lang w:bidi="he-IL"/>
        </w:rPr>
        <w:t>כדי</w:t>
      </w:r>
      <w:r>
        <w:t xml:space="preserve"> </w:t>
      </w:r>
      <w:r w:rsidRPr="0006782A">
        <w:rPr>
          <w:rFonts w:ascii="Arial" w:hAnsi="Arial" w:cs="Arial"/>
          <w:rtl/>
          <w:lang w:bidi="he-IL"/>
        </w:rPr>
        <w:t>דיבור</w:t>
      </w:r>
      <w:r>
        <w:t xml:space="preserve"> of finishing the </w:t>
      </w:r>
      <w:r w:rsidRPr="0006782A">
        <w:rPr>
          <w:rFonts w:ascii="Arial" w:hAnsi="Arial" w:cs="Arial"/>
          <w:rtl/>
          <w:lang w:bidi="he-IL"/>
        </w:rPr>
        <w:t>ברכה</w:t>
      </w:r>
      <w:r>
        <w:t xml:space="preserve"> of </w:t>
      </w:r>
      <w:r w:rsidRPr="0006782A">
        <w:rPr>
          <w:rFonts w:ascii="Arial" w:hAnsi="Arial" w:cs="Arial"/>
          <w:rtl/>
          <w:lang w:bidi="he-IL"/>
        </w:rPr>
        <w:t>שומע</w:t>
      </w:r>
      <w:r>
        <w:t xml:space="preserve"> </w:t>
      </w:r>
      <w:r w:rsidRPr="0006782A">
        <w:rPr>
          <w:rFonts w:ascii="Arial" w:hAnsi="Arial" w:cs="Arial"/>
          <w:rtl/>
          <w:lang w:bidi="he-IL"/>
        </w:rPr>
        <w:t>תפילה</w:t>
      </w:r>
      <w:r>
        <w:t xml:space="preserve">?  Do we say that is has the same </w:t>
      </w:r>
      <w:r w:rsidRPr="0006782A">
        <w:rPr>
          <w:rFonts w:ascii="Arial" w:hAnsi="Arial" w:cs="Arial"/>
          <w:rtl/>
          <w:lang w:bidi="he-IL"/>
        </w:rPr>
        <w:t>דין</w:t>
      </w:r>
      <w:r>
        <w:t xml:space="preserve"> as the case discussed in </w:t>
      </w:r>
      <w:r w:rsidRPr="0006782A">
        <w:rPr>
          <w:rFonts w:ascii="Arial" w:hAnsi="Arial" w:cs="Arial"/>
          <w:rtl/>
          <w:lang w:bidi="he-IL"/>
        </w:rPr>
        <w:t>מ</w:t>
      </w:r>
      <w:r>
        <w:t>"</w:t>
      </w:r>
      <w:r w:rsidRPr="0006782A">
        <w:rPr>
          <w:rFonts w:ascii="Arial" w:hAnsi="Arial" w:cs="Arial"/>
          <w:rtl/>
          <w:lang w:bidi="he-IL"/>
        </w:rPr>
        <w:t>ב</w:t>
      </w:r>
      <w:r>
        <w:t xml:space="preserve"> </w:t>
      </w:r>
      <w:r w:rsidRPr="0006782A">
        <w:rPr>
          <w:rFonts w:ascii="Arial" w:hAnsi="Arial" w:cs="Arial"/>
          <w:rtl/>
          <w:lang w:bidi="he-IL"/>
        </w:rPr>
        <w:t>שם</w:t>
      </w:r>
      <w:r>
        <w:t xml:space="preserve"> </w:t>
      </w:r>
      <w:r w:rsidRPr="0006782A">
        <w:rPr>
          <w:rFonts w:ascii="Arial" w:hAnsi="Arial" w:cs="Arial"/>
          <w:rtl/>
          <w:lang w:bidi="he-IL"/>
        </w:rPr>
        <w:t>ס</w:t>
      </w:r>
      <w:r>
        <w:t>"</w:t>
      </w:r>
      <w:r w:rsidRPr="0006782A">
        <w:rPr>
          <w:rFonts w:ascii="Arial" w:hAnsi="Arial" w:cs="Arial"/>
          <w:rtl/>
          <w:lang w:bidi="he-IL"/>
        </w:rPr>
        <w:t>ק</w:t>
      </w:r>
      <w:r>
        <w:t xml:space="preserve"> </w:t>
      </w:r>
      <w:r w:rsidRPr="0006782A">
        <w:rPr>
          <w:rFonts w:ascii="Arial" w:hAnsi="Arial" w:cs="Arial"/>
          <w:rtl/>
          <w:lang w:bidi="he-IL"/>
        </w:rPr>
        <w:t>ט</w:t>
      </w:r>
      <w:r>
        <w:t>"</w:t>
      </w:r>
      <w:r w:rsidRPr="0006782A">
        <w:rPr>
          <w:rFonts w:ascii="Arial" w:hAnsi="Arial" w:cs="Arial"/>
          <w:rtl/>
          <w:lang w:bidi="he-IL"/>
        </w:rPr>
        <w:t>ו</w:t>
      </w:r>
      <w:r>
        <w:t xml:space="preserve"> of one who concluded </w:t>
      </w:r>
      <w:r w:rsidRPr="0006782A">
        <w:rPr>
          <w:rFonts w:ascii="Arial" w:hAnsi="Arial" w:cs="Arial"/>
          <w:rtl/>
          <w:lang w:bidi="he-IL"/>
        </w:rPr>
        <w:t>מברך</w:t>
      </w:r>
      <w:r>
        <w:t xml:space="preserve"> </w:t>
      </w:r>
      <w:r w:rsidRPr="0006782A">
        <w:rPr>
          <w:rFonts w:ascii="Arial" w:hAnsi="Arial" w:cs="Arial"/>
          <w:rtl/>
          <w:lang w:bidi="he-IL"/>
        </w:rPr>
        <w:t>השנים</w:t>
      </w:r>
      <w:r>
        <w:t xml:space="preserve">, that they can insert it before </w:t>
      </w:r>
      <w:r w:rsidRPr="0006782A">
        <w:rPr>
          <w:rFonts w:ascii="Arial" w:hAnsi="Arial" w:cs="Arial"/>
          <w:rtl/>
          <w:lang w:bidi="he-IL"/>
        </w:rPr>
        <w:t>תקע</w:t>
      </w:r>
      <w:r>
        <w:t xml:space="preserve"> </w:t>
      </w:r>
      <w:r w:rsidRPr="0006782A">
        <w:rPr>
          <w:rFonts w:ascii="Arial" w:hAnsi="Arial" w:cs="Arial"/>
          <w:rtl/>
          <w:lang w:bidi="he-IL"/>
        </w:rPr>
        <w:t>בשופר</w:t>
      </w:r>
      <w:r>
        <w:t xml:space="preserve">?  And, even though the </w:t>
      </w:r>
      <w:r w:rsidRPr="0006782A">
        <w:rPr>
          <w:rFonts w:ascii="Arial" w:hAnsi="Arial" w:cs="Arial"/>
          <w:rtl/>
          <w:lang w:bidi="he-IL"/>
        </w:rPr>
        <w:t>מ</w:t>
      </w:r>
      <w:r>
        <w:t>"</w:t>
      </w:r>
      <w:r w:rsidRPr="0006782A">
        <w:rPr>
          <w:rFonts w:ascii="Arial" w:hAnsi="Arial" w:cs="Arial"/>
          <w:rtl/>
          <w:lang w:bidi="he-IL"/>
        </w:rPr>
        <w:t>ב</w:t>
      </w:r>
      <w:r>
        <w:t xml:space="preserve"> indicates in </w:t>
      </w:r>
      <w:r w:rsidRPr="0006782A">
        <w:rPr>
          <w:i/>
          <w:iCs/>
        </w:rPr>
        <w:t xml:space="preserve">that </w:t>
      </w:r>
      <w:r>
        <w:t xml:space="preserve">case that it would be better to insert in in </w:t>
      </w:r>
      <w:r w:rsidRPr="0006782A">
        <w:rPr>
          <w:rFonts w:ascii="Arial" w:hAnsi="Arial" w:cs="Arial"/>
          <w:rtl/>
          <w:lang w:bidi="he-IL"/>
        </w:rPr>
        <w:t>ש</w:t>
      </w:r>
      <w:r>
        <w:t>"</w:t>
      </w:r>
      <w:r w:rsidRPr="0006782A">
        <w:rPr>
          <w:rFonts w:ascii="Arial" w:hAnsi="Arial" w:cs="Arial"/>
          <w:rtl/>
          <w:lang w:bidi="he-IL"/>
        </w:rPr>
        <w:t>ת</w:t>
      </w:r>
      <w:r>
        <w:t xml:space="preserve">, perhaps here the </w:t>
      </w:r>
      <w:r w:rsidRPr="0006782A">
        <w:rPr>
          <w:rFonts w:ascii="Arial" w:hAnsi="Arial" w:cs="Arial"/>
          <w:rtl/>
          <w:lang w:bidi="he-IL"/>
        </w:rPr>
        <w:t>סברא</w:t>
      </w:r>
      <w:r>
        <w:t xml:space="preserve"> wouldn't apply because he already missed both chances and now going back will require many more </w:t>
      </w:r>
      <w:r w:rsidRPr="0006782A">
        <w:rPr>
          <w:rFonts w:ascii="Arial" w:hAnsi="Arial" w:cs="Arial"/>
          <w:rtl/>
          <w:lang w:bidi="he-IL"/>
        </w:rPr>
        <w:t>ברכות</w:t>
      </w:r>
      <w:r>
        <w:t>.</w:t>
      </w:r>
    </w:p>
    <w:p w:rsidR="00064DFA" w:rsidRDefault="00DD5D9F" w:rsidP="008C6D3B">
      <w:pPr>
        <w:pStyle w:val="ListParagraph"/>
        <w:numPr>
          <w:ilvl w:val="0"/>
          <w:numId w:val="1"/>
        </w:numPr>
        <w:spacing w:after="240"/>
        <w:rPr>
          <w:rFonts w:ascii="Tahoma" w:hAnsi="Tahoma" w:cs="Tahoma"/>
        </w:rPr>
      </w:pPr>
      <w:r w:rsidRPr="00DD5D9F">
        <w:rPr>
          <w:rFonts w:ascii="Tahoma" w:hAnsi="Tahoma" w:cs="Tahoma"/>
        </w:rPr>
        <w:t>Due to Obama care a young couple about to get married according to Halacha are debating not to get married civilly so that they can remain on their parents’ health plan. Is it mutar</w:t>
      </w:r>
      <w:r>
        <w:rPr>
          <w:rFonts w:ascii="Tahoma" w:hAnsi="Tahoma" w:cs="Tahoma"/>
        </w:rPr>
        <w:t>, can a rav be a mesader kedushin for such a wedding?</w:t>
      </w:r>
    </w:p>
    <w:p w:rsidR="00064DFA" w:rsidRPr="00064DFA" w:rsidRDefault="00064DFA" w:rsidP="00064DFA">
      <w:pPr>
        <w:spacing w:after="240"/>
        <w:ind w:left="450"/>
        <w:rPr>
          <w:rFonts w:ascii="Tahoma" w:hAnsi="Tahoma" w:cs="Tahoma"/>
        </w:rPr>
      </w:pPr>
    </w:p>
    <w:p w:rsidR="00AA7029" w:rsidRDefault="00DD5D9F" w:rsidP="008C6D3B">
      <w:pPr>
        <w:pStyle w:val="ListParagraph"/>
        <w:numPr>
          <w:ilvl w:val="0"/>
          <w:numId w:val="1"/>
        </w:numPr>
        <w:spacing w:after="240"/>
        <w:rPr>
          <w:rFonts w:ascii="Tahoma" w:hAnsi="Tahoma" w:cs="Tahoma"/>
        </w:rPr>
      </w:pPr>
      <w:r>
        <w:rPr>
          <w:rFonts w:ascii="Tahoma" w:hAnsi="Tahoma" w:cs="Tahoma"/>
        </w:rPr>
        <w:t>A widower with children wants to be buried next to his second wife</w:t>
      </w:r>
      <w:r w:rsidR="00457342">
        <w:rPr>
          <w:rFonts w:ascii="Tahoma" w:hAnsi="Tahoma" w:cs="Tahoma"/>
        </w:rPr>
        <w:t xml:space="preserve"> and not the mother of his children. The children have come to the rav to express their opinion even though they really like their step mother. No children were born in the second marriage and the children were orphaned as teenagers when their father remarried. How should the rav proceed?</w:t>
      </w:r>
    </w:p>
    <w:p w:rsidR="00AA7029" w:rsidRDefault="00AA7029" w:rsidP="00AA7029">
      <w:pPr>
        <w:jc w:val="center"/>
        <w:rPr>
          <w:rFonts w:ascii="Tahoma" w:hAnsi="Tahoma" w:cs="Tahoma"/>
          <w:u w:val="single"/>
        </w:rPr>
      </w:pPr>
    </w:p>
    <w:p w:rsidR="00AA7029" w:rsidRPr="00AA7029" w:rsidRDefault="00AA7029" w:rsidP="00AA7029">
      <w:pPr>
        <w:pStyle w:val="ListParagraph"/>
        <w:numPr>
          <w:ilvl w:val="0"/>
          <w:numId w:val="1"/>
        </w:numPr>
        <w:spacing w:after="200" w:line="276" w:lineRule="auto"/>
        <w:rPr>
          <w:rFonts w:ascii="Tahoma" w:hAnsi="Tahoma" w:cs="Tahoma"/>
        </w:rPr>
      </w:pPr>
      <w:r w:rsidRPr="00AA7029">
        <w:rPr>
          <w:rFonts w:ascii="Tahoma" w:hAnsi="Tahoma" w:cs="Tahoma"/>
        </w:rPr>
        <w:t>I often receive this question from people who read blogs... YCT basis their argument on this premise “our fight is not un-similar to the battles the Chassidim had with Misnagedim or Bais Yaakov’s had with the Torah world. The context of time will prove us right. Sometimes to create change we need fighters “not sure if this is the direction the Rav is willing to take these Q&amp;A sessions, but if he is willing to respond to this it would really be appreciated.</w:t>
      </w:r>
    </w:p>
    <w:p w:rsidR="00457342" w:rsidRPr="00AA7029" w:rsidRDefault="00457342" w:rsidP="00AA7029">
      <w:pPr>
        <w:spacing w:after="240"/>
        <w:ind w:left="450"/>
        <w:rPr>
          <w:rFonts w:ascii="Tahoma" w:hAnsi="Tahoma" w:cs="Tahoma"/>
        </w:rPr>
      </w:pPr>
      <w:r w:rsidRPr="00AA7029">
        <w:rPr>
          <w:rFonts w:ascii="Tahoma" w:hAnsi="Tahoma" w:cs="Tahoma"/>
        </w:rPr>
        <w:lastRenderedPageBreak/>
        <w:t xml:space="preserve">   </w:t>
      </w:r>
    </w:p>
    <w:p w:rsidR="00DD5D9F" w:rsidRPr="00457342" w:rsidRDefault="00DD5D9F" w:rsidP="00457342">
      <w:pPr>
        <w:spacing w:after="240"/>
        <w:ind w:left="450"/>
        <w:rPr>
          <w:rFonts w:ascii="Tahoma" w:hAnsi="Tahoma" w:cs="Tahoma"/>
        </w:rPr>
      </w:pPr>
      <w:r w:rsidRPr="00457342">
        <w:rPr>
          <w:rFonts w:ascii="Tahoma" w:hAnsi="Tahoma" w:cs="Tahoma"/>
        </w:rPr>
        <w:t xml:space="preserve"> </w:t>
      </w:r>
    </w:p>
    <w:p w:rsidR="0006782A" w:rsidRDefault="00DD5D9F" w:rsidP="00DD5D9F">
      <w:pPr>
        <w:spacing w:after="240"/>
        <w:ind w:left="450"/>
      </w:pPr>
      <w:r>
        <w:t xml:space="preserve"> </w:t>
      </w:r>
      <w:r w:rsidR="008C6D3B">
        <w:t xml:space="preserve"> </w:t>
      </w:r>
      <w:r w:rsidR="0006782A">
        <w:br/>
      </w:r>
    </w:p>
    <w:p w:rsidR="0006782A" w:rsidRDefault="0006782A" w:rsidP="0006782A">
      <w:pPr>
        <w:ind w:left="450"/>
      </w:pPr>
    </w:p>
    <w:p w:rsidR="0006782A" w:rsidRPr="00E23F2E" w:rsidRDefault="0006782A">
      <w:pPr>
        <w:rPr>
          <w:rFonts w:ascii="Tahoma" w:hAnsi="Tahoma" w:cs="Tahoma"/>
        </w:rPr>
      </w:pPr>
    </w:p>
    <w:sectPr w:rsidR="0006782A" w:rsidRPr="00E2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A187C"/>
    <w:multiLevelType w:val="hybridMultilevel"/>
    <w:tmpl w:val="C9C87F4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A0563"/>
    <w:multiLevelType w:val="hybridMultilevel"/>
    <w:tmpl w:val="64BACDB8"/>
    <w:lvl w:ilvl="0" w:tplc="8A043FD8">
      <w:start w:val="1"/>
      <w:numFmt w:val="decimal"/>
      <w:lvlText w:val="%1."/>
      <w:lvlJc w:val="left"/>
      <w:pPr>
        <w:ind w:left="810" w:hanging="360"/>
      </w:pPr>
      <w:rPr>
        <w:rFonts w:ascii="Tahoma" w:hAnsi="Tahoma" w:cs="Tahom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2A"/>
    <w:rsid w:val="00060868"/>
    <w:rsid w:val="00064DFA"/>
    <w:rsid w:val="0006782A"/>
    <w:rsid w:val="00457342"/>
    <w:rsid w:val="008C6D3B"/>
    <w:rsid w:val="00AA7029"/>
    <w:rsid w:val="00C926B5"/>
    <w:rsid w:val="00DD5D9F"/>
    <w:rsid w:val="00E23F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82A"/>
    <w:pPr>
      <w:ind w:left="720"/>
      <w:contextualSpacing/>
    </w:pPr>
  </w:style>
  <w:style w:type="character" w:styleId="Strong">
    <w:name w:val="Strong"/>
    <w:basedOn w:val="DefaultParagraphFont"/>
    <w:uiPriority w:val="22"/>
    <w:qFormat/>
    <w:rsid w:val="000678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82A"/>
    <w:pPr>
      <w:ind w:left="720"/>
      <w:contextualSpacing/>
    </w:pPr>
  </w:style>
  <w:style w:type="character" w:styleId="Strong">
    <w:name w:val="Strong"/>
    <w:basedOn w:val="DefaultParagraphFont"/>
    <w:uiPriority w:val="22"/>
    <w:qFormat/>
    <w:rsid w:val="00067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4388">
      <w:bodyDiv w:val="1"/>
      <w:marLeft w:val="0"/>
      <w:marRight w:val="0"/>
      <w:marTop w:val="0"/>
      <w:marBottom w:val="0"/>
      <w:divBdr>
        <w:top w:val="none" w:sz="0" w:space="0" w:color="auto"/>
        <w:left w:val="none" w:sz="0" w:space="0" w:color="auto"/>
        <w:bottom w:val="none" w:sz="0" w:space="0" w:color="auto"/>
        <w:right w:val="none" w:sz="0" w:space="0" w:color="auto"/>
      </w:divBdr>
    </w:div>
    <w:div w:id="514660876">
      <w:bodyDiv w:val="1"/>
      <w:marLeft w:val="0"/>
      <w:marRight w:val="0"/>
      <w:marTop w:val="0"/>
      <w:marBottom w:val="0"/>
      <w:divBdr>
        <w:top w:val="none" w:sz="0" w:space="0" w:color="auto"/>
        <w:left w:val="none" w:sz="0" w:space="0" w:color="auto"/>
        <w:bottom w:val="none" w:sz="0" w:space="0" w:color="auto"/>
        <w:right w:val="none" w:sz="0" w:space="0" w:color="auto"/>
      </w:divBdr>
    </w:div>
    <w:div w:id="18534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 Hammer</dc:creator>
  <cp:lastModifiedBy>Binyamin Hammer</cp:lastModifiedBy>
  <cp:revision>6</cp:revision>
  <dcterms:created xsi:type="dcterms:W3CDTF">2013-12-16T19:54:00Z</dcterms:created>
  <dcterms:modified xsi:type="dcterms:W3CDTF">2017-09-03T19:35:00Z</dcterms:modified>
</cp:coreProperties>
</file>